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17D47">
      <w:pPr>
        <w:pStyle w:val="4"/>
        <w:widowControl/>
        <w:jc w:val="both"/>
        <w:rPr>
          <w:rFonts w:hint="default" w:ascii="Times New Roman" w:hAnsi="Times New Roman"/>
          <w:sz w:val="28"/>
          <w:szCs w:val="28"/>
        </w:rPr>
      </w:pPr>
      <w:r>
        <w:rPr>
          <w:rFonts w:hint="default" w:ascii="Times New Roman" w:hAnsi="Times New Roman"/>
          <w:sz w:val="28"/>
          <w:szCs w:val="28"/>
        </w:rPr>
        <w:t>π-HuB Project: Seed Programme 2024 – Call for Proposals</w:t>
      </w:r>
    </w:p>
    <w:p w14:paraId="5BCFED13">
      <w:pPr>
        <w:pStyle w:val="5"/>
        <w:widowControl/>
        <w:jc w:val="both"/>
        <w:rPr>
          <w:rFonts w:ascii="Times New Roman" w:hAnsi="Times New Roman"/>
        </w:rPr>
      </w:pPr>
      <w:r>
        <w:rPr>
          <w:rFonts w:ascii="Times New Roman" w:hAnsi="Times New Roman"/>
        </w:rPr>
        <w:t xml:space="preserve">In our pursuit to unlock the complexities of the human proteome and fully harness its potential for groundbreaking biomedical advancements, we are proud to introduce the </w:t>
      </w:r>
      <w:r>
        <w:rPr>
          <w:rStyle w:val="8"/>
          <w:rFonts w:ascii="Times New Roman" w:hAnsi="Times New Roman"/>
        </w:rPr>
        <w:t>π-HuB Project (Proteomic Navigator of the Human Body)</w:t>
      </w:r>
      <w:r>
        <w:rPr>
          <w:rFonts w:ascii="Times New Roman" w:hAnsi="Times New Roman"/>
        </w:rPr>
        <w:t>. This ambitious scientific initiative aims to develop an advanced computational engine—</w:t>
      </w:r>
      <w:r>
        <w:rPr>
          <w:rStyle w:val="8"/>
          <w:rFonts w:ascii="Times New Roman" w:hAnsi="Times New Roman"/>
          <w:b w:val="0"/>
          <w:bCs/>
        </w:rPr>
        <w:t>the π-HuB Navigator</w:t>
      </w:r>
      <w:r>
        <w:rPr>
          <w:rFonts w:ascii="Times New Roman" w:hAnsi="Times New Roman"/>
          <w:bCs/>
        </w:rPr>
        <w:t>—d</w:t>
      </w:r>
      <w:r>
        <w:rPr>
          <w:rFonts w:ascii="Times New Roman" w:hAnsi="Times New Roman"/>
        </w:rPr>
        <w:t>esigned to integrate and analyze multi-modal proteomic datasets. By doing so, we seek to deepen our understanding of human biology, facilitate more accurate disease risk assessments and diagnoses, uncover novel drug targets, optimize therapeutic strategies, and ultimately drive the future of intelligent healthcare solutions.This transformative mission will</w:t>
      </w:r>
      <w:r>
        <w:rPr>
          <w:rFonts w:hint="eastAsia" w:ascii="Times New Roman" w:hAnsi="Times New Roman"/>
        </w:rPr>
        <w:t xml:space="preserve"> and only </w:t>
      </w:r>
      <w:r>
        <w:rPr>
          <w:rFonts w:ascii="Times New Roman" w:hAnsi="Times New Roman"/>
        </w:rPr>
        <w:t>be realized through a collaborative international effort, engaging multidisciplinary research teams from academia, industry, and government sectors across the globe.</w:t>
      </w:r>
    </w:p>
    <w:p w14:paraId="52C6DB7A">
      <w:pPr>
        <w:pStyle w:val="5"/>
        <w:widowControl/>
        <w:jc w:val="both"/>
        <w:rPr>
          <w:rFonts w:ascii="Times New Roman" w:hAnsi="Times New Roman"/>
        </w:rPr>
      </w:pPr>
      <w:r>
        <w:rPr>
          <w:rFonts w:ascii="Times New Roman" w:hAnsi="Times New Roman"/>
        </w:rPr>
        <w:t xml:space="preserve">Given the extensive scope of the project—encompassing the analysis of vast numbers of human samples, including sorted single cells from various organs and clinical biospecimens—there is an urgent need for cutting-edge, ultra-high throughput facilities dedicated to data generation, collection, and processing. To address this, we are launching the </w:t>
      </w:r>
      <w:r>
        <w:rPr>
          <w:rStyle w:val="8"/>
          <w:rFonts w:ascii="Times New Roman" w:hAnsi="Times New Roman"/>
        </w:rPr>
        <w:t>Seed Programme</w:t>
      </w:r>
      <w:r>
        <w:rPr>
          <w:rFonts w:ascii="Times New Roman" w:hAnsi="Times New Roman"/>
        </w:rPr>
        <w:t xml:space="preserve"> as a pilot initiative under the π-HuB Project.</w:t>
      </w:r>
    </w:p>
    <w:p w14:paraId="31DEAE8A">
      <w:pPr>
        <w:pStyle w:val="5"/>
        <w:widowControl/>
        <w:jc w:val="both"/>
        <w:rPr>
          <w:rFonts w:ascii="Times New Roman" w:hAnsi="Times New Roman"/>
        </w:rPr>
      </w:pPr>
      <w:r>
        <w:rPr>
          <w:rFonts w:ascii="Times New Roman" w:hAnsi="Times New Roman"/>
        </w:rPr>
        <w:t>Leveraging the robust infrastructure of the π-HuB Project's international headquarters in Guangzhou, China, the Seed Programme will tap into the powerful resources of our state-of-the-art Omics data factory. This facility is home to a professional proteomics and metabolomics team comprising over 20 scientists, equipped with 17 advanced LC-MS/MS instruments. Since its establishment in 2021, the Seed Programme has supported nearly 30 research initiatives, analyzed over 40,000 cohort samples, and provided funding totaling more than 60 million RMB.</w:t>
      </w:r>
    </w:p>
    <w:p w14:paraId="46DAA818">
      <w:pPr>
        <w:pStyle w:val="5"/>
        <w:widowControl/>
        <w:jc w:val="both"/>
        <w:rPr>
          <w:rFonts w:ascii="Times New Roman" w:hAnsi="Times New Roman"/>
        </w:rPr>
      </w:pPr>
      <w:r>
        <w:rPr>
          <w:rFonts w:ascii="Times New Roman" w:hAnsi="Times New Roman"/>
        </w:rPr>
        <w:t>These resources have already proven instrumental in developing precise and targeted strategies to tackle major diseases such as liver, ovarian, and breast cancer, underscoring the immense value of large-scale scientific infrastructure. Through this initiative, we aim to continue fostering groundbreaking research and accelerating discoveries that will pave the way for transformative healthcare solutions.</w:t>
      </w:r>
    </w:p>
    <w:p w14:paraId="4D6F70E4">
      <w:pPr>
        <w:pStyle w:val="3"/>
        <w:widowControl/>
        <w:numPr>
          <w:ilvl w:val="0"/>
          <w:numId w:val="1"/>
        </w:numPr>
        <w:jc w:val="both"/>
        <w:rPr>
          <w:rFonts w:hint="default" w:ascii="Times New Roman" w:hAnsi="Times New Roman"/>
          <w:sz w:val="24"/>
          <w:szCs w:val="24"/>
        </w:rPr>
      </w:pPr>
      <w:r>
        <w:rPr>
          <w:rFonts w:hint="default" w:ascii="Times New Roman" w:hAnsi="Times New Roman"/>
          <w:sz w:val="24"/>
          <w:szCs w:val="24"/>
        </w:rPr>
        <w:t>Pro</w:t>
      </w:r>
      <w:r>
        <w:rPr>
          <w:rFonts w:ascii="Times New Roman" w:hAnsi="Times New Roman"/>
          <w:sz w:val="24"/>
          <w:szCs w:val="24"/>
        </w:rPr>
        <w:t>gram</w:t>
      </w:r>
      <w:r>
        <w:rPr>
          <w:rFonts w:hint="default" w:ascii="Times New Roman" w:hAnsi="Times New Roman"/>
          <w:sz w:val="24"/>
          <w:szCs w:val="24"/>
        </w:rPr>
        <w:t xml:space="preserve"> Settings and Funding Areas for 2024</w:t>
      </w:r>
    </w:p>
    <w:p w14:paraId="474AC24E">
      <w:pPr>
        <w:pStyle w:val="5"/>
        <w:widowControl/>
        <w:jc w:val="both"/>
        <w:rPr>
          <w:rFonts w:ascii="Times New Roman" w:hAnsi="Times New Roman"/>
        </w:rPr>
      </w:pPr>
      <w:r>
        <w:rPr>
          <w:rFonts w:ascii="Times New Roman" w:hAnsi="Times New Roman"/>
        </w:rPr>
        <w:t xml:space="preserve">To accelerate the π-HuB Project and maximize the data output and analytical capabilities of </w:t>
      </w:r>
      <w:r>
        <w:rPr>
          <w:rFonts w:hint="eastAsia" w:ascii="Times New Roman" w:hAnsi="Times New Roman"/>
        </w:rPr>
        <w:t xml:space="preserve">the </w:t>
      </w:r>
      <w:r>
        <w:rPr>
          <w:rFonts w:ascii="Times New Roman" w:hAnsi="Times New Roman"/>
        </w:rPr>
        <w:t xml:space="preserve">leading proteomics platform, </w:t>
      </w:r>
      <w:r>
        <w:rPr>
          <w:rFonts w:hint="eastAsia" w:ascii="Times New Roman" w:hAnsi="Times New Roman"/>
        </w:rPr>
        <w:t>we are going to</w:t>
      </w:r>
      <w:r>
        <w:rPr>
          <w:rFonts w:ascii="Times New Roman" w:hAnsi="Times New Roman"/>
        </w:rPr>
        <w:t xml:space="preserve"> expand the </w:t>
      </w:r>
      <w:r>
        <w:rPr>
          <w:rFonts w:hint="eastAsia" w:ascii="Times New Roman" w:hAnsi="Times New Roman"/>
        </w:rPr>
        <w:t>funding scope</w:t>
      </w:r>
      <w:r>
        <w:rPr>
          <w:rFonts w:ascii="Times New Roman" w:hAnsi="Times New Roman"/>
        </w:rPr>
        <w:t xml:space="preserve"> for Seed Programme in 2024. This expansion is rooted in our dedication to enhancing support, with a focus on</w:t>
      </w:r>
      <w:r>
        <w:rPr>
          <w:rFonts w:hint="eastAsia" w:ascii="Times New Roman" w:hAnsi="Times New Roman"/>
        </w:rPr>
        <w:t xml:space="preserve"> the following</w:t>
      </w:r>
      <w:r>
        <w:rPr>
          <w:rFonts w:ascii="Times New Roman" w:hAnsi="Times New Roman"/>
        </w:rPr>
        <w:t xml:space="preserve"> </w:t>
      </w:r>
      <w:r>
        <w:rPr>
          <w:rFonts w:hint="eastAsia" w:ascii="Times New Roman" w:hAnsi="Times New Roman"/>
          <w:lang w:val="en-US" w:eastAsia="zh-CN"/>
        </w:rPr>
        <w:t>three</w:t>
      </w:r>
      <w:bookmarkStart w:id="0" w:name="_GoBack"/>
      <w:bookmarkEnd w:id="0"/>
      <w:r>
        <w:rPr>
          <w:rFonts w:ascii="Times New Roman" w:hAnsi="Times New Roman"/>
        </w:rPr>
        <w:t xml:space="preserve"> primary research</w:t>
      </w:r>
      <w:r>
        <w:rPr>
          <w:rFonts w:hint="eastAsia" w:ascii="Times New Roman" w:hAnsi="Times New Roman"/>
        </w:rPr>
        <w:t xml:space="preserve"> areas</w:t>
      </w:r>
      <w:r>
        <w:rPr>
          <w:rFonts w:ascii="Times New Roman" w:hAnsi="Times New Roman"/>
        </w:rPr>
        <w:t>:</w:t>
      </w:r>
    </w:p>
    <w:p w14:paraId="1A0CFE42">
      <w:pPr>
        <w:widowControl/>
        <w:numPr>
          <w:ilvl w:val="0"/>
          <w:numId w:val="2"/>
        </w:numPr>
        <w:spacing w:beforeAutospacing="1" w:afterAutospacing="1"/>
        <w:rPr>
          <w:rFonts w:ascii="Times New Roman" w:hAnsi="Times New Roman" w:cs="Times New Roman"/>
          <w:b/>
          <w:sz w:val="24"/>
        </w:rPr>
      </w:pPr>
      <w:r>
        <w:rPr>
          <w:rStyle w:val="8"/>
          <w:rFonts w:ascii="Times New Roman" w:hAnsi="Times New Roman" w:cs="Times New Roman"/>
          <w:sz w:val="24"/>
        </w:rPr>
        <w:t>Principles of cell type organization</w:t>
      </w:r>
    </w:p>
    <w:p w14:paraId="7F82EE3C">
      <w:pPr>
        <w:widowControl/>
        <w:numPr>
          <w:ilvl w:val="0"/>
          <w:numId w:val="2"/>
        </w:numPr>
        <w:spacing w:beforeAutospacing="1" w:afterAutospacing="1"/>
        <w:rPr>
          <w:rStyle w:val="8"/>
          <w:rFonts w:ascii="Times New Roman" w:hAnsi="Times New Roman" w:eastAsia="宋体" w:cs="Times New Roman"/>
          <w:sz w:val="24"/>
        </w:rPr>
      </w:pPr>
      <w:r>
        <w:rPr>
          <w:rStyle w:val="8"/>
          <w:rFonts w:ascii="Times New Roman" w:hAnsi="Times New Roman" w:eastAsia="宋体" w:cs="Times New Roman"/>
          <w:sz w:val="24"/>
        </w:rPr>
        <w:t xml:space="preserve">Proteomics-driven lifestyle guidelines </w:t>
      </w:r>
    </w:p>
    <w:p w14:paraId="5D0F54D8">
      <w:pPr>
        <w:widowControl/>
        <w:numPr>
          <w:ilvl w:val="0"/>
          <w:numId w:val="2"/>
        </w:numPr>
        <w:spacing w:beforeAutospacing="1" w:afterAutospacing="1"/>
        <w:rPr>
          <w:rFonts w:ascii="Times New Roman" w:hAnsi="Times New Roman" w:cs="Times New Roman"/>
          <w:b/>
          <w:sz w:val="24"/>
        </w:rPr>
      </w:pPr>
      <w:r>
        <w:rPr>
          <w:rStyle w:val="8"/>
          <w:rFonts w:ascii="Times New Roman" w:hAnsi="Times New Roman" w:cs="Times New Roman"/>
          <w:sz w:val="24"/>
        </w:rPr>
        <w:t xml:space="preserve">Generalization of </w:t>
      </w:r>
      <w:r>
        <w:rPr>
          <w:rStyle w:val="8"/>
          <w:rFonts w:hint="eastAsia" w:ascii="Times New Roman" w:hAnsi="Times New Roman" w:cs="Times New Roman"/>
          <w:sz w:val="24"/>
        </w:rPr>
        <w:t>p</w:t>
      </w:r>
      <w:r>
        <w:rPr>
          <w:rStyle w:val="8"/>
          <w:rFonts w:ascii="Times New Roman" w:hAnsi="Times New Roman" w:cs="Times New Roman"/>
          <w:sz w:val="24"/>
        </w:rPr>
        <w:t>roteomics-</w:t>
      </w:r>
      <w:r>
        <w:rPr>
          <w:rStyle w:val="8"/>
          <w:rFonts w:hint="eastAsia" w:ascii="Times New Roman" w:hAnsi="Times New Roman" w:cs="Times New Roman"/>
          <w:sz w:val="24"/>
        </w:rPr>
        <w:t>d</w:t>
      </w:r>
      <w:r>
        <w:rPr>
          <w:rStyle w:val="8"/>
          <w:rFonts w:ascii="Times New Roman" w:hAnsi="Times New Roman" w:cs="Times New Roman"/>
          <w:sz w:val="24"/>
        </w:rPr>
        <w:t xml:space="preserve">riven </w:t>
      </w:r>
      <w:r>
        <w:rPr>
          <w:rStyle w:val="8"/>
          <w:rFonts w:hint="eastAsia" w:ascii="Times New Roman" w:hAnsi="Times New Roman" w:cs="Times New Roman"/>
          <w:sz w:val="24"/>
        </w:rPr>
        <w:t>p</w:t>
      </w:r>
      <w:r>
        <w:rPr>
          <w:rStyle w:val="8"/>
          <w:rFonts w:ascii="Times New Roman" w:hAnsi="Times New Roman" w:cs="Times New Roman"/>
          <w:sz w:val="24"/>
        </w:rPr>
        <w:t xml:space="preserve">recision </w:t>
      </w:r>
      <w:r>
        <w:rPr>
          <w:rStyle w:val="8"/>
          <w:rFonts w:hint="eastAsia" w:ascii="Times New Roman" w:hAnsi="Times New Roman" w:cs="Times New Roman"/>
          <w:sz w:val="24"/>
        </w:rPr>
        <w:t>m</w:t>
      </w:r>
      <w:r>
        <w:rPr>
          <w:rStyle w:val="8"/>
          <w:rFonts w:ascii="Times New Roman" w:hAnsi="Times New Roman" w:cs="Times New Roman"/>
          <w:sz w:val="24"/>
        </w:rPr>
        <w:t>edicine</w:t>
      </w:r>
    </w:p>
    <w:p w14:paraId="3036B9E9">
      <w:pPr>
        <w:pStyle w:val="5"/>
        <w:widowControl/>
        <w:jc w:val="both"/>
        <w:rPr>
          <w:rFonts w:ascii="Times New Roman" w:hAnsi="Times New Roman"/>
        </w:rPr>
      </w:pPr>
      <w:r>
        <w:rPr>
          <w:rFonts w:ascii="Times New Roman" w:hAnsi="Times New Roman"/>
        </w:rPr>
        <w:t>We invite researchers and institutions to engage with us in this groundbreaking endeavor, as we collectively strive to advance our understanding of the human proteome and its implications for health and disease.</w:t>
      </w:r>
    </w:p>
    <w:p w14:paraId="3E86F883">
      <w:pPr>
        <w:pStyle w:val="4"/>
        <w:widowControl/>
        <w:numPr>
          <w:ilvl w:val="0"/>
          <w:numId w:val="1"/>
        </w:numPr>
        <w:jc w:val="both"/>
        <w:rPr>
          <w:rFonts w:hint="default" w:ascii="Times New Roman" w:hAnsi="Times New Roman"/>
          <w:sz w:val="24"/>
          <w:szCs w:val="24"/>
        </w:rPr>
      </w:pPr>
      <w:r>
        <w:rPr>
          <w:rFonts w:hint="default" w:ascii="Times New Roman" w:hAnsi="Times New Roman"/>
          <w:sz w:val="24"/>
          <w:szCs w:val="24"/>
        </w:rPr>
        <w:t>Funding Plan for 2024</w:t>
      </w:r>
    </w:p>
    <w:p w14:paraId="5AF87D66">
      <w:pPr>
        <w:pStyle w:val="5"/>
        <w:widowControl/>
        <w:jc w:val="both"/>
        <w:rPr>
          <w:rFonts w:ascii="Times New Roman" w:hAnsi="Times New Roman"/>
        </w:rPr>
      </w:pPr>
      <w:r>
        <w:rPr>
          <w:rFonts w:ascii="Times New Roman" w:hAnsi="Times New Roman"/>
        </w:rPr>
        <w:t>In 2024, financial support for the Seed Program will be available for</w:t>
      </w:r>
      <w:r>
        <w:rPr>
          <w:rFonts w:hint="eastAsia" w:ascii="Times New Roman" w:hAnsi="Times New Roman"/>
        </w:rPr>
        <w:t xml:space="preserve"> </w:t>
      </w:r>
      <w:r>
        <w:rPr>
          <w:rFonts w:hint="eastAsia" w:ascii="Times New Roman" w:hAnsi="Times New Roman"/>
          <w:b/>
          <w:bCs/>
        </w:rPr>
        <w:t>one</w:t>
      </w:r>
      <w:r>
        <w:rPr>
          <w:rFonts w:ascii="Times New Roman" w:hAnsi="Times New Roman"/>
          <w:b/>
          <w:bCs/>
        </w:rPr>
        <w:t xml:space="preserve"> proposal up to a maximum of 1,000,000 RMB</w:t>
      </w:r>
      <w:r>
        <w:rPr>
          <w:rFonts w:hint="eastAsia" w:ascii="Times New Roman" w:hAnsi="Times New Roman"/>
          <w:b/>
          <w:bCs/>
        </w:rPr>
        <w:t xml:space="preserve"> (Covering about 500-1000 samples for whole proteome profiling with DIA or 700-1000 hours for MS measurement)</w:t>
      </w:r>
      <w:r>
        <w:rPr>
          <w:rFonts w:ascii="Times New Roman" w:hAnsi="Times New Roman"/>
        </w:rPr>
        <w:t xml:space="preserve">. These funds will primarily cover services such as research equipment, instrumentation, software, and computational support. However, they do not extend to costs related to salaries, scholarships, or assay materials. </w:t>
      </w:r>
    </w:p>
    <w:p w14:paraId="09EF9AA9">
      <w:pPr>
        <w:pStyle w:val="5"/>
        <w:widowControl/>
        <w:jc w:val="both"/>
        <w:rPr>
          <w:rFonts w:ascii="Times New Roman" w:hAnsi="Times New Roman"/>
        </w:rPr>
      </w:pPr>
      <w:r>
        <w:rPr>
          <w:rFonts w:ascii="Times New Roman" w:hAnsi="Times New Roman"/>
        </w:rPr>
        <w:t>Fund allocation will be determined by the quality, innovation, and relevance of the proposed research. Notably, exceptional and high-impact initiatives may be subject to separate funding negotiations. Applicants are encouraged to align their funding requests with the specific needs of their projects, which are expected to span 2 to 3 years.</w:t>
      </w:r>
    </w:p>
    <w:p w14:paraId="480CE863">
      <w:pPr>
        <w:pStyle w:val="5"/>
        <w:widowControl/>
        <w:jc w:val="both"/>
        <w:rPr>
          <w:rFonts w:ascii="Times New Roman" w:hAnsi="Times New Roman"/>
        </w:rPr>
      </w:pPr>
      <w:r>
        <w:rPr>
          <w:rFonts w:ascii="Times New Roman" w:hAnsi="Times New Roman"/>
          <w:b/>
          <w:bCs/>
        </w:rPr>
        <w:t>We anticipate supporting between 10 and 20 programs in 2024</w:t>
      </w:r>
      <w:r>
        <w:rPr>
          <w:rFonts w:ascii="Times New Roman" w:hAnsi="Times New Roman"/>
        </w:rPr>
        <w:t>, with the exact number of awards contingent upon the applicant pool. Successful programs will gain access to advanced resources, including mass spectrometry, computational support, and data storage facilities provided by the π-HuB infrastructure. Additionally, they will benefit from comprehensive assistance in proteomics data generation, analysis, and knowledge extraction.</w:t>
      </w:r>
    </w:p>
    <w:p w14:paraId="323BF123">
      <w:pPr>
        <w:pStyle w:val="4"/>
        <w:widowControl/>
        <w:numPr>
          <w:ilvl w:val="0"/>
          <w:numId w:val="1"/>
        </w:numPr>
        <w:jc w:val="both"/>
        <w:rPr>
          <w:rFonts w:hint="default" w:ascii="Times New Roman" w:hAnsi="Times New Roman"/>
          <w:sz w:val="24"/>
          <w:szCs w:val="24"/>
        </w:rPr>
      </w:pPr>
      <w:r>
        <w:rPr>
          <w:rFonts w:hint="default" w:ascii="Times New Roman" w:hAnsi="Times New Roman"/>
          <w:sz w:val="24"/>
          <w:szCs w:val="24"/>
        </w:rPr>
        <w:t>Application Requirements and Notices</w:t>
      </w:r>
    </w:p>
    <w:p w14:paraId="409E9705">
      <w:pPr>
        <w:pStyle w:val="5"/>
        <w:widowControl/>
        <w:jc w:val="both"/>
        <w:rPr>
          <w:rFonts w:ascii="Times New Roman" w:hAnsi="Times New Roman"/>
        </w:rPr>
      </w:pPr>
      <w:r>
        <w:rPr>
          <w:rStyle w:val="8"/>
          <w:rFonts w:ascii="Times New Roman" w:hAnsi="Times New Roman"/>
        </w:rPr>
        <w:t>Eligibility</w:t>
      </w:r>
      <w:r>
        <w:rPr>
          <w:rFonts w:ascii="Times New Roman" w:hAnsi="Times New Roman"/>
        </w:rPr>
        <w:t>: Applicants must hold senior academic positions and have a background in basic or applied research, or related fields.</w:t>
      </w:r>
    </w:p>
    <w:p w14:paraId="1F146359">
      <w:pPr>
        <w:pStyle w:val="5"/>
        <w:widowControl/>
        <w:jc w:val="both"/>
        <w:rPr>
          <w:rFonts w:ascii="Times New Roman" w:hAnsi="Times New Roman"/>
        </w:rPr>
      </w:pPr>
      <w:r>
        <w:rPr>
          <w:rStyle w:val="8"/>
          <w:rFonts w:ascii="Times New Roman" w:hAnsi="Times New Roman"/>
        </w:rPr>
        <w:t>Submission Process</w:t>
      </w:r>
      <w:r>
        <w:rPr>
          <w:rFonts w:ascii="Times New Roman" w:hAnsi="Times New Roman"/>
        </w:rPr>
        <w:t xml:space="preserve">: Applications should be submitted electronically to pi-hub@ncpsb.org.cn, with the subject line </w:t>
      </w:r>
      <w:r>
        <w:rPr>
          <w:rStyle w:val="8"/>
          <w:rFonts w:ascii="Times New Roman" w:hAnsi="Times New Roman"/>
        </w:rPr>
        <w:t>'π-HuB Project–Seed Program Application 2024'</w:t>
      </w:r>
      <w:r>
        <w:rPr>
          <w:rFonts w:ascii="Times New Roman" w:hAnsi="Times New Roman"/>
        </w:rPr>
        <w:t xml:space="preserve">, by </w:t>
      </w:r>
      <w:r>
        <w:rPr>
          <w:rStyle w:val="8"/>
          <w:rFonts w:hint="eastAsia" w:ascii="Times New Roman" w:hAnsi="Times New Roman"/>
        </w:rPr>
        <w:t>January</w:t>
      </w:r>
      <w:r>
        <w:rPr>
          <w:rStyle w:val="8"/>
          <w:rFonts w:ascii="Times New Roman" w:hAnsi="Times New Roman"/>
        </w:rPr>
        <w:t xml:space="preserve"> </w:t>
      </w:r>
      <w:r>
        <w:rPr>
          <w:rStyle w:val="8"/>
          <w:rFonts w:hint="eastAsia" w:ascii="Times New Roman" w:hAnsi="Times New Roman"/>
        </w:rPr>
        <w:t>30</w:t>
      </w:r>
      <w:r>
        <w:rPr>
          <w:rStyle w:val="8"/>
          <w:rFonts w:ascii="Times New Roman" w:hAnsi="Times New Roman"/>
        </w:rPr>
        <w:t>, 202</w:t>
      </w:r>
      <w:r>
        <w:rPr>
          <w:rStyle w:val="8"/>
          <w:rFonts w:hint="eastAsia" w:ascii="Times New Roman" w:hAnsi="Times New Roman"/>
        </w:rPr>
        <w:t>5</w:t>
      </w:r>
      <w:r>
        <w:rPr>
          <w:rFonts w:ascii="Times New Roman" w:hAnsi="Times New Roman"/>
        </w:rPr>
        <w:t>.</w:t>
      </w:r>
    </w:p>
    <w:p w14:paraId="6C342093">
      <w:pPr>
        <w:pStyle w:val="5"/>
        <w:widowControl/>
        <w:jc w:val="both"/>
        <w:rPr>
          <w:rFonts w:ascii="Times New Roman" w:hAnsi="Times New Roman"/>
        </w:rPr>
      </w:pPr>
      <w:r>
        <w:rPr>
          <w:rStyle w:val="8"/>
          <w:rFonts w:ascii="Times New Roman" w:hAnsi="Times New Roman"/>
        </w:rPr>
        <w:t>Project Monitoring</w:t>
      </w:r>
      <w:r>
        <w:rPr>
          <w:rFonts w:ascii="Times New Roman" w:hAnsi="Times New Roman"/>
        </w:rPr>
        <w:t>: To ensure effective progress and foster cohesive research, the Steering Committee and Working Group will organize annual meetings and regular workshops. These events will facilitate communication, collaboration, and coordination among participants. Principal Investigators (PIs) are expected to attend these workshops and meetings, allocate funds for associated costs, and coordinate participation with their international research partners.</w:t>
      </w:r>
    </w:p>
    <w:p w14:paraId="26D2A00A">
      <w:pPr>
        <w:pStyle w:val="4"/>
        <w:widowControl/>
        <w:numPr>
          <w:ilvl w:val="0"/>
          <w:numId w:val="1"/>
        </w:numPr>
        <w:jc w:val="both"/>
        <w:rPr>
          <w:rFonts w:hint="default" w:ascii="Times New Roman" w:hAnsi="Times New Roman"/>
          <w:sz w:val="24"/>
          <w:szCs w:val="24"/>
        </w:rPr>
      </w:pPr>
      <w:r>
        <w:rPr>
          <w:rFonts w:hint="default" w:ascii="Times New Roman" w:hAnsi="Times New Roman"/>
          <w:sz w:val="24"/>
          <w:szCs w:val="24"/>
        </w:rPr>
        <w:t>Additional Instructions</w:t>
      </w:r>
    </w:p>
    <w:p w14:paraId="79526430">
      <w:pPr>
        <w:pStyle w:val="5"/>
        <w:widowControl/>
        <w:jc w:val="both"/>
        <w:rPr>
          <w:rFonts w:ascii="Times New Roman" w:hAnsi="Times New Roman"/>
        </w:rPr>
      </w:pPr>
      <w:r>
        <w:rPr>
          <w:rStyle w:val="8"/>
          <w:rFonts w:ascii="Times New Roman" w:hAnsi="Times New Roman"/>
        </w:rPr>
        <w:t>Sample Registration</w:t>
      </w:r>
      <w:r>
        <w:rPr>
          <w:rFonts w:ascii="Times New Roman" w:hAnsi="Times New Roman"/>
        </w:rPr>
        <w:t>: For selected programs, it is mandatory to register all sample submissions. If the project involves human genetic resources, appropriate declarations and registrations must be completed in accordance with local regulations.</w:t>
      </w:r>
    </w:p>
    <w:p w14:paraId="68DA8D5B">
      <w:pPr>
        <w:pStyle w:val="5"/>
        <w:widowControl/>
        <w:jc w:val="both"/>
        <w:rPr>
          <w:rFonts w:ascii="Times New Roman" w:hAnsi="Times New Roman"/>
        </w:rPr>
      </w:pPr>
      <w:r>
        <w:rPr>
          <w:rStyle w:val="8"/>
          <w:rFonts w:ascii="Times New Roman" w:hAnsi="Times New Roman"/>
        </w:rPr>
        <w:t>Program Collaboration</w:t>
      </w:r>
      <w:r>
        <w:rPr>
          <w:rFonts w:ascii="Times New Roman" w:hAnsi="Times New Roman"/>
        </w:rPr>
        <w:t>: Applicants are strongly encouraged to collaborate with experts in proteomics, bioinformatics, and foundational research from the π-HuB Project’s infrastructure. Such partnerships should focus on comprehensive omics data analysis, functional validation, and other related studies. The sharing of research outcomes and intellectual property will be governed by contributions or formal collaboration agreements.</w:t>
      </w:r>
    </w:p>
    <w:p w14:paraId="236DC915">
      <w:pPr>
        <w:pStyle w:val="5"/>
        <w:widowControl/>
        <w:jc w:val="both"/>
        <w:rPr>
          <w:rFonts w:ascii="Times New Roman" w:hAnsi="Times New Roman"/>
        </w:rPr>
      </w:pPr>
      <w:r>
        <w:rPr>
          <w:rStyle w:val="8"/>
          <w:rFonts w:ascii="Times New Roman" w:hAnsi="Times New Roman"/>
        </w:rPr>
        <w:t>Result Attribution</w:t>
      </w:r>
      <w:r>
        <w:rPr>
          <w:rFonts w:ascii="Times New Roman" w:hAnsi="Times New Roman"/>
        </w:rPr>
        <w:t>: When publishing relevant findings, applicants are required to acknowledge the π-HuB Project, π-HuB Project</w:t>
      </w:r>
      <w:r>
        <w:rPr>
          <w:rFonts w:hint="eastAsia" w:ascii="Times New Roman" w:hAnsi="Times New Roman"/>
        </w:rPr>
        <w:t xml:space="preserve"> </w:t>
      </w:r>
      <w:r>
        <w:rPr>
          <w:rFonts w:ascii="Times New Roman" w:hAnsi="Times New Roman"/>
        </w:rPr>
        <w:t>infrastructure, and other relevant entities as specified.</w:t>
      </w:r>
    </w:p>
    <w:p w14:paraId="2A9DF509">
      <w:pPr>
        <w:pStyle w:val="5"/>
        <w:widowControl/>
        <w:spacing w:beforeAutospacing="0" w:afterAutospacing="0" w:line="360" w:lineRule="atLeast"/>
        <w:jc w:val="both"/>
        <w:rPr>
          <w:rFonts w:ascii="Times New Roman" w:hAnsi="Times New Roman"/>
          <w:b/>
          <w:bCs/>
        </w:rPr>
      </w:pPr>
    </w:p>
    <w:p w14:paraId="6830B92C">
      <w:pPr>
        <w:pStyle w:val="5"/>
        <w:widowControl/>
        <w:spacing w:beforeAutospacing="0" w:afterAutospacing="0" w:line="360" w:lineRule="atLeast"/>
        <w:jc w:val="both"/>
        <w:rPr>
          <w:rFonts w:ascii="Times New Roman" w:hAnsi="Times New Roman"/>
          <w:b/>
          <w:bCs/>
        </w:rPr>
      </w:pPr>
    </w:p>
    <w:p w14:paraId="45C7E91E">
      <w:pPr>
        <w:pStyle w:val="5"/>
        <w:widowControl/>
        <w:spacing w:beforeAutospacing="0" w:afterAutospacing="0" w:line="360" w:lineRule="atLeast"/>
        <w:jc w:val="both"/>
        <w:rPr>
          <w:rFonts w:ascii="Times New Roman" w:hAnsi="Times New Roman"/>
        </w:rPr>
      </w:pPr>
      <w:r>
        <w:rPr>
          <w:rFonts w:hint="eastAsia" w:ascii="Times New Roman" w:hAnsi="Times New Roman"/>
          <w:b/>
          <w:bCs/>
        </w:rPr>
        <w:t xml:space="preserve">V. </w:t>
      </w:r>
      <w:r>
        <w:rPr>
          <w:rFonts w:ascii="Times New Roman" w:hAnsi="Times New Roman"/>
          <w:b/>
          <w:bCs/>
        </w:rPr>
        <w:t>Annexes</w:t>
      </w:r>
    </w:p>
    <w:p w14:paraId="21471079">
      <w:pPr>
        <w:pStyle w:val="5"/>
        <w:widowControl/>
        <w:jc w:val="both"/>
        <w:rPr>
          <w:rFonts w:ascii="Times New Roman" w:hAnsi="Times New Roman"/>
          <w:b/>
          <w:bCs/>
        </w:rPr>
      </w:pPr>
      <w:r>
        <w:rPr>
          <w:rFonts w:ascii="Times New Roman" w:hAnsi="Times New Roman"/>
          <w:b/>
          <w:bCs/>
        </w:rPr>
        <w:t>π-HuB infrastructure</w:t>
      </w:r>
    </w:p>
    <w:p w14:paraId="3E4FAD00">
      <w:pPr>
        <w:pStyle w:val="5"/>
        <w:widowControl/>
        <w:jc w:val="both"/>
        <w:rPr>
          <w:rFonts w:ascii="Times New Roman" w:hAnsi="Times New Roman"/>
        </w:rPr>
      </w:pPr>
      <w:r>
        <w:rPr>
          <w:rFonts w:hint="eastAsia" w:ascii="Times New Roman" w:hAnsi="Times New Roman"/>
        </w:rPr>
        <w:t>This platform</w:t>
      </w:r>
      <w:r>
        <w:rPr>
          <w:rFonts w:ascii="Times New Roman" w:hAnsi="Times New Roman"/>
        </w:rPr>
        <w:t xml:space="preserve"> has established a world-class innovative team, centered around high-caliber interdisciplinary talent</w:t>
      </w:r>
      <w:r>
        <w:rPr>
          <w:rFonts w:hint="eastAsia" w:ascii="Times New Roman" w:hAnsi="Times New Roman"/>
        </w:rPr>
        <w:t>s</w:t>
      </w:r>
      <w:r>
        <w:rPr>
          <w:rFonts w:ascii="Times New Roman" w:hAnsi="Times New Roman"/>
        </w:rPr>
        <w:t xml:space="preserve"> in proteomics, metabolomics, informatics, and other related fields. This team has developed the world's first fully automated</w:t>
      </w:r>
      <w:r>
        <w:rPr>
          <w:rFonts w:hint="eastAsia" w:ascii="Times New Roman" w:hAnsi="Times New Roman"/>
        </w:rPr>
        <w:t xml:space="preserve"> </w:t>
      </w:r>
      <w:r>
        <w:rPr>
          <w:rFonts w:ascii="Times New Roman" w:hAnsi="Times New Roman"/>
        </w:rPr>
        <w:t xml:space="preserve">proteomics analysis platform, as well as platforms for spatial proteomics, single-cell proteomics, metabolomics, cellular biology, molecular biology, and bioinformatics. These advancements provide robust technical support for the organization and implementation of </w:t>
      </w:r>
      <w:r>
        <w:rPr>
          <w:rFonts w:hint="eastAsia" w:ascii="Times New Roman" w:hAnsi="Times New Roman"/>
        </w:rPr>
        <w:t>Seed Programme</w:t>
      </w:r>
      <w:r>
        <w:rPr>
          <w:rFonts w:ascii="Times New Roman" w:hAnsi="Times New Roman"/>
        </w:rPr>
        <w:t xml:space="preserve"> and extensive collaborations.</w:t>
      </w:r>
    </w:p>
    <w:p w14:paraId="11ACB7F0">
      <w:pPr>
        <w:pStyle w:val="5"/>
        <w:widowControl/>
        <w:jc w:val="both"/>
      </w:pPr>
      <w:r>
        <w:drawing>
          <wp:inline distT="0" distB="0" distL="114300" distR="114300">
            <wp:extent cx="5262880" cy="2961005"/>
            <wp:effectExtent l="0" t="0" r="4445" b="127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4"/>
                    <a:stretch>
                      <a:fillRect/>
                    </a:stretch>
                  </pic:blipFill>
                  <pic:spPr>
                    <a:xfrm>
                      <a:off x="0" y="0"/>
                      <a:ext cx="5262880" cy="2961005"/>
                    </a:xfrm>
                    <a:prstGeom prst="rect">
                      <a:avLst/>
                    </a:prstGeom>
                    <a:noFill/>
                    <a:ln>
                      <a:noFill/>
                    </a:ln>
                  </pic:spPr>
                </pic:pic>
              </a:graphicData>
            </a:graphic>
          </wp:inline>
        </w:drawing>
      </w:r>
    </w:p>
    <w:p w14:paraId="2A192AFC">
      <w:pPr>
        <w:pStyle w:val="5"/>
        <w:widowControl/>
        <w:jc w:val="both"/>
      </w:pPr>
      <w:r>
        <w:drawing>
          <wp:inline distT="0" distB="0" distL="114300" distR="114300">
            <wp:extent cx="5266690" cy="2998470"/>
            <wp:effectExtent l="0" t="0" r="635" b="190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5"/>
                    <a:stretch>
                      <a:fillRect/>
                    </a:stretch>
                  </pic:blipFill>
                  <pic:spPr>
                    <a:xfrm>
                      <a:off x="0" y="0"/>
                      <a:ext cx="5266690" cy="2998470"/>
                    </a:xfrm>
                    <a:prstGeom prst="rect">
                      <a:avLst/>
                    </a:prstGeom>
                    <a:noFill/>
                    <a:ln>
                      <a:noFill/>
                    </a:ln>
                  </pic:spPr>
                </pic:pic>
              </a:graphicData>
            </a:graphic>
          </wp:inline>
        </w:drawing>
      </w:r>
    </w:p>
    <w:p w14:paraId="240C24FA">
      <w:pPr>
        <w:pStyle w:val="5"/>
        <w:widowControl/>
        <w:jc w:val="both"/>
        <w:rPr>
          <w:rFonts w:hint="eastAsia"/>
        </w:rPr>
      </w:pPr>
    </w:p>
    <w:tbl>
      <w:tblPr>
        <w:tblStyle w:val="6"/>
        <w:tblW w:w="8318" w:type="dxa"/>
        <w:tblInd w:w="100" w:type="dxa"/>
        <w:tblLayout w:type="autofit"/>
        <w:tblCellMar>
          <w:top w:w="0" w:type="dxa"/>
          <w:left w:w="108" w:type="dxa"/>
          <w:bottom w:w="0" w:type="dxa"/>
          <w:right w:w="108" w:type="dxa"/>
        </w:tblCellMar>
      </w:tblPr>
      <w:tblGrid>
        <w:gridCol w:w="2346"/>
        <w:gridCol w:w="2144"/>
        <w:gridCol w:w="3828"/>
      </w:tblGrid>
      <w:tr w14:paraId="6DDF2FC2">
        <w:tblPrEx>
          <w:tblCellMar>
            <w:top w:w="0" w:type="dxa"/>
            <w:left w:w="108" w:type="dxa"/>
            <w:bottom w:w="0" w:type="dxa"/>
            <w:right w:w="108" w:type="dxa"/>
          </w:tblCellMar>
        </w:tblPrEx>
        <w:trPr>
          <w:trHeight w:val="560" w:hRule="atLeast"/>
        </w:trPr>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D340">
            <w:pPr>
              <w:widowControl/>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Types of Services</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FF96">
            <w:pPr>
              <w:widowControl/>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Instruments</w:t>
            </w:r>
          </w:p>
        </w:tc>
        <w:tc>
          <w:tcPr>
            <w:tcW w:w="3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0651">
            <w:pPr>
              <w:widowControl/>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Service Requirements</w:t>
            </w:r>
          </w:p>
        </w:tc>
      </w:tr>
      <w:tr w14:paraId="72AE4B22">
        <w:tblPrEx>
          <w:tblCellMar>
            <w:top w:w="0" w:type="dxa"/>
            <w:left w:w="108" w:type="dxa"/>
            <w:bottom w:w="0" w:type="dxa"/>
            <w:right w:w="108" w:type="dxa"/>
          </w:tblCellMar>
        </w:tblPrEx>
        <w:trPr>
          <w:trHeight w:val="278" w:hRule="atLeast"/>
        </w:trPr>
        <w:tc>
          <w:tcPr>
            <w:tcW w:w="2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8199E">
            <w:pPr>
              <w:widowControl/>
              <w:jc w:val="left"/>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kern w:val="0"/>
                <w:sz w:val="24"/>
                <w:lang w:bidi="ar"/>
              </w:rPr>
              <w:t>Whole proteome profiling</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8ADA">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ABFD5">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Label-free Quantification</w:t>
            </w:r>
            <w:r>
              <w:rPr>
                <w:rFonts w:hint="eastAsia" w:ascii="Times New Roman" w:hAnsi="Times New Roman" w:eastAsia="宋体" w:cs="Times New Roman"/>
                <w:color w:val="000000"/>
                <w:kern w:val="0"/>
                <w:sz w:val="24"/>
                <w:lang w:bidi="ar"/>
              </w:rPr>
              <w:t xml:space="preserve"> with DDA</w:t>
            </w:r>
          </w:p>
        </w:tc>
      </w:tr>
      <w:tr w14:paraId="380C7076">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541D4">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19D6">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timsTOF Pro</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B0CF1">
            <w:pPr>
              <w:jc w:val="left"/>
              <w:rPr>
                <w:rFonts w:ascii="Times New Roman" w:hAnsi="Times New Roman" w:eastAsia="宋体" w:cs="Times New Roman"/>
                <w:color w:val="000000"/>
                <w:sz w:val="24"/>
              </w:rPr>
            </w:pPr>
          </w:p>
        </w:tc>
      </w:tr>
      <w:tr w14:paraId="62380A82">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342D2">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57F8">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Eclipse</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68B39">
            <w:pPr>
              <w:jc w:val="left"/>
              <w:rPr>
                <w:rFonts w:ascii="Times New Roman" w:hAnsi="Times New Roman" w:eastAsia="宋体" w:cs="Times New Roman"/>
                <w:color w:val="000000"/>
                <w:sz w:val="24"/>
              </w:rPr>
            </w:pPr>
          </w:p>
        </w:tc>
      </w:tr>
      <w:tr w14:paraId="1E043014">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8005C">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88D0">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760AA">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TMT Quantification</w:t>
            </w:r>
          </w:p>
        </w:tc>
      </w:tr>
      <w:tr w14:paraId="329D7344">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2C56">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9424">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Eclipse</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A0C0F">
            <w:pPr>
              <w:rPr>
                <w:rFonts w:ascii="Times New Roman" w:hAnsi="Times New Roman" w:eastAsia="宋体" w:cs="Times New Roman"/>
                <w:color w:val="000000"/>
                <w:sz w:val="24"/>
              </w:rPr>
            </w:pPr>
          </w:p>
        </w:tc>
      </w:tr>
      <w:tr w14:paraId="585B1F26">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BCD0C">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1AEE">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3E093">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Label-free Quantification</w:t>
            </w:r>
            <w:r>
              <w:rPr>
                <w:rFonts w:hint="eastAsia" w:ascii="Times New Roman" w:hAnsi="Times New Roman" w:eastAsia="宋体" w:cs="Times New Roman"/>
                <w:color w:val="000000"/>
                <w:kern w:val="0"/>
                <w:sz w:val="24"/>
                <w:lang w:bidi="ar"/>
              </w:rPr>
              <w:t xml:space="preserve"> with DIA</w:t>
            </w:r>
          </w:p>
        </w:tc>
      </w:tr>
      <w:tr w14:paraId="48F5BB7F">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6D40A">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584C">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timsTOF Pro</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5658E">
            <w:pPr>
              <w:rPr>
                <w:rFonts w:ascii="Times New Roman" w:hAnsi="Times New Roman" w:eastAsia="宋体" w:cs="Times New Roman"/>
                <w:color w:val="000000"/>
                <w:sz w:val="24"/>
              </w:rPr>
            </w:pPr>
          </w:p>
        </w:tc>
      </w:tr>
      <w:tr w14:paraId="688D85EC">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6D8D9">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AAE9">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Eclipse</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EA1AE">
            <w:pPr>
              <w:rPr>
                <w:rFonts w:ascii="Times New Roman" w:hAnsi="Times New Roman" w:eastAsia="宋体" w:cs="Times New Roman"/>
                <w:color w:val="000000"/>
                <w:sz w:val="24"/>
              </w:rPr>
            </w:pPr>
          </w:p>
        </w:tc>
      </w:tr>
      <w:tr w14:paraId="034C1395">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7964A">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4968">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DDA library</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60149">
            <w:pPr>
              <w:rPr>
                <w:rFonts w:ascii="Times New Roman" w:hAnsi="Times New Roman" w:eastAsia="宋体" w:cs="Times New Roman"/>
                <w:color w:val="000000"/>
                <w:sz w:val="24"/>
              </w:rPr>
            </w:pPr>
          </w:p>
        </w:tc>
      </w:tr>
      <w:tr w14:paraId="0947F250">
        <w:tblPrEx>
          <w:tblCellMar>
            <w:top w:w="0" w:type="dxa"/>
            <w:left w:w="108" w:type="dxa"/>
            <w:bottom w:w="0" w:type="dxa"/>
            <w:right w:w="108" w:type="dxa"/>
          </w:tblCellMar>
        </w:tblPrEx>
        <w:trPr>
          <w:trHeight w:val="278" w:hRule="atLeast"/>
        </w:trPr>
        <w:tc>
          <w:tcPr>
            <w:tcW w:w="2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7E83D">
            <w:pPr>
              <w:widowControl/>
              <w:jc w:val="left"/>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kern w:val="0"/>
                <w:sz w:val="24"/>
                <w:lang w:bidi="ar"/>
              </w:rPr>
              <w:t>PTM Analysis</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2CFA">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B41DF">
            <w:r>
              <w:rPr>
                <w:rFonts w:ascii="Times New Roman" w:hAnsi="Times New Roman" w:eastAsia="宋体" w:cs="Times New Roman"/>
                <w:color w:val="000000"/>
                <w:kern w:val="0"/>
                <w:sz w:val="24"/>
                <w:lang w:bidi="ar"/>
              </w:rPr>
              <w:t>Label</w:t>
            </w:r>
            <w:r>
              <w:rPr>
                <w:rFonts w:hint="eastAsia" w:ascii="Times New Roman" w:hAnsi="Times New Roman" w:eastAsia="宋体" w:cs="Times New Roman"/>
                <w:color w:val="000000"/>
                <w:kern w:val="0"/>
                <w:sz w:val="24"/>
                <w:lang w:bidi="ar"/>
              </w:rPr>
              <w:t xml:space="preserve">-free </w:t>
            </w:r>
            <w:r>
              <w:rPr>
                <w:rFonts w:ascii="Times New Roman" w:hAnsi="Times New Roman" w:eastAsia="宋体" w:cs="Times New Roman"/>
                <w:color w:val="000000"/>
                <w:kern w:val="0"/>
                <w:sz w:val="24"/>
                <w:lang w:bidi="ar"/>
              </w:rPr>
              <w:t>phosphoproteomic analysis</w:t>
            </w:r>
          </w:p>
          <w:p w14:paraId="5C6AD3B0">
            <w:pPr>
              <w:widowControl/>
              <w:jc w:val="left"/>
              <w:textAlignment w:val="center"/>
              <w:rPr>
                <w:rFonts w:ascii="Times New Roman" w:hAnsi="Times New Roman" w:eastAsia="宋体" w:cs="Times New Roman"/>
                <w:color w:val="000000"/>
                <w:sz w:val="24"/>
              </w:rPr>
            </w:pPr>
          </w:p>
        </w:tc>
      </w:tr>
      <w:tr w14:paraId="52D7BE82">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7A5B4">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BE8A">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timsTOF Pro</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666EF">
            <w:pPr>
              <w:rPr>
                <w:rFonts w:ascii="Times New Roman" w:hAnsi="Times New Roman" w:eastAsia="宋体" w:cs="Times New Roman"/>
                <w:color w:val="000000"/>
                <w:sz w:val="24"/>
              </w:rPr>
            </w:pPr>
          </w:p>
        </w:tc>
      </w:tr>
      <w:tr w14:paraId="6D001644">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45958">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4FD2">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Eclipse</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716BD">
            <w:pPr>
              <w:rPr>
                <w:rFonts w:ascii="Times New Roman" w:hAnsi="Times New Roman" w:eastAsia="宋体" w:cs="Times New Roman"/>
                <w:color w:val="000000"/>
                <w:sz w:val="24"/>
              </w:rPr>
            </w:pPr>
          </w:p>
        </w:tc>
      </w:tr>
      <w:tr w14:paraId="6CE47C81">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32517">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BCE4">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5795B">
            <w:r>
              <w:rPr>
                <w:rFonts w:hint="eastAsia" w:ascii="Times New Roman" w:hAnsi="Times New Roman" w:eastAsia="宋体" w:cs="Times New Roman"/>
                <w:color w:val="000000"/>
                <w:kern w:val="0"/>
                <w:sz w:val="24"/>
                <w:lang w:bidi="ar"/>
              </w:rPr>
              <w:t xml:space="preserve">TMT-based </w:t>
            </w:r>
            <w:r>
              <w:rPr>
                <w:rFonts w:ascii="Times New Roman" w:hAnsi="Times New Roman" w:eastAsia="宋体" w:cs="Times New Roman"/>
                <w:color w:val="000000"/>
                <w:kern w:val="0"/>
                <w:sz w:val="24"/>
                <w:lang w:bidi="ar"/>
              </w:rPr>
              <w:t>phosphoproteomic analysis</w:t>
            </w:r>
          </w:p>
          <w:p w14:paraId="40ED5BB8">
            <w:pPr>
              <w:widowControl/>
              <w:jc w:val="left"/>
              <w:textAlignment w:val="center"/>
              <w:rPr>
                <w:rFonts w:ascii="Times New Roman" w:hAnsi="Times New Roman" w:eastAsia="宋体" w:cs="Times New Roman"/>
                <w:color w:val="000000"/>
                <w:sz w:val="24"/>
              </w:rPr>
            </w:pPr>
          </w:p>
        </w:tc>
      </w:tr>
      <w:tr w14:paraId="61305C84">
        <w:tblPrEx>
          <w:tblCellMar>
            <w:top w:w="0" w:type="dxa"/>
            <w:left w:w="108" w:type="dxa"/>
            <w:bottom w:w="0" w:type="dxa"/>
            <w:right w:w="108" w:type="dxa"/>
          </w:tblCellMar>
        </w:tblPrEx>
        <w:trPr>
          <w:trHeight w:val="740"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958D4">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6925">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Eclipse</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BB01F">
            <w:pPr>
              <w:rPr>
                <w:rFonts w:ascii="Times New Roman" w:hAnsi="Times New Roman" w:eastAsia="宋体" w:cs="Times New Roman"/>
                <w:color w:val="000000"/>
                <w:sz w:val="24"/>
              </w:rPr>
            </w:pPr>
          </w:p>
        </w:tc>
      </w:tr>
      <w:tr w14:paraId="6A01D569">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A2A31">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6566">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C04D3">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Label-free ubiquitinome profiling</w:t>
            </w:r>
          </w:p>
        </w:tc>
      </w:tr>
      <w:tr w14:paraId="1749F5EB">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51747">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DB7B">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timsTOF Pro</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2CB9C">
            <w:pPr>
              <w:rPr>
                <w:rFonts w:ascii="Times New Roman" w:hAnsi="Times New Roman" w:eastAsia="宋体" w:cs="Times New Roman"/>
                <w:color w:val="000000"/>
                <w:sz w:val="24"/>
              </w:rPr>
            </w:pPr>
          </w:p>
        </w:tc>
      </w:tr>
      <w:tr w14:paraId="62D455EF">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BEE79">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50FA">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Eclipse</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7696D">
            <w:pPr>
              <w:rPr>
                <w:rFonts w:ascii="Times New Roman" w:hAnsi="Times New Roman" w:eastAsia="宋体" w:cs="Times New Roman"/>
                <w:color w:val="000000"/>
                <w:sz w:val="24"/>
              </w:rPr>
            </w:pPr>
          </w:p>
        </w:tc>
      </w:tr>
      <w:tr w14:paraId="08372185">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19BC7">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CE9F">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0A5D8">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N/O-</w:t>
            </w:r>
            <w:r>
              <w:t xml:space="preserve"> </w:t>
            </w:r>
            <w:r>
              <w:rPr>
                <w:rFonts w:ascii="Times New Roman" w:hAnsi="Times New Roman" w:eastAsia="宋体" w:cs="Times New Roman"/>
                <w:color w:val="000000"/>
                <w:kern w:val="0"/>
                <w:sz w:val="24"/>
                <w:lang w:bidi="ar"/>
              </w:rPr>
              <w:t>Glycoproteome</w:t>
            </w:r>
            <w:r>
              <w:rPr>
                <w:rFonts w:hint="eastAsia" w:ascii="Times New Roman" w:hAnsi="Times New Roman" w:eastAsia="宋体" w:cs="Times New Roman"/>
                <w:color w:val="000000"/>
                <w:kern w:val="0"/>
                <w:sz w:val="24"/>
                <w:lang w:bidi="ar"/>
              </w:rPr>
              <w:t xml:space="preserve"> </w:t>
            </w:r>
            <w:r>
              <w:rPr>
                <w:rFonts w:ascii="Times New Roman" w:hAnsi="Times New Roman" w:eastAsia="宋体" w:cs="Times New Roman"/>
                <w:color w:val="000000"/>
                <w:kern w:val="0"/>
                <w:sz w:val="24"/>
                <w:lang w:bidi="ar"/>
              </w:rPr>
              <w:t xml:space="preserve">profiling </w:t>
            </w:r>
          </w:p>
        </w:tc>
      </w:tr>
      <w:tr w14:paraId="0F0452D2">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D9AD2">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4A46">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timsTOF Pro</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32D0F">
            <w:pPr>
              <w:rPr>
                <w:rFonts w:ascii="Times New Roman" w:hAnsi="Times New Roman" w:eastAsia="宋体" w:cs="Times New Roman"/>
                <w:color w:val="000000"/>
                <w:sz w:val="24"/>
              </w:rPr>
            </w:pPr>
          </w:p>
        </w:tc>
      </w:tr>
      <w:tr w14:paraId="4A888A5A">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A08E0">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3C66">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Eclipse</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0EE08">
            <w:pPr>
              <w:rPr>
                <w:rFonts w:ascii="Times New Roman" w:hAnsi="Times New Roman" w:eastAsia="宋体" w:cs="Times New Roman"/>
                <w:color w:val="000000"/>
                <w:sz w:val="24"/>
              </w:rPr>
            </w:pPr>
          </w:p>
        </w:tc>
      </w:tr>
      <w:tr w14:paraId="6830518E">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06DF7">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A3AE">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F02EE">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Label-free</w:t>
            </w:r>
            <w:r>
              <w:rPr>
                <w:rFonts w:hint="eastAsia" w:ascii="Times New Roman" w:hAnsi="Times New Roman" w:eastAsia="宋体" w:cs="Times New Roman"/>
                <w:color w:val="000000"/>
                <w:kern w:val="0"/>
                <w:sz w:val="24"/>
                <w:lang w:bidi="ar"/>
              </w:rPr>
              <w:t xml:space="preserve"> </w:t>
            </w:r>
            <w:r>
              <w:rPr>
                <w:rFonts w:ascii="Times New Roman" w:hAnsi="Times New Roman" w:eastAsia="宋体" w:cs="Times New Roman"/>
                <w:color w:val="000000"/>
                <w:kern w:val="0"/>
                <w:sz w:val="24"/>
                <w:lang w:bidi="ar"/>
              </w:rPr>
              <w:t>acetylome profiling</w:t>
            </w:r>
          </w:p>
        </w:tc>
      </w:tr>
      <w:tr w14:paraId="68605C77">
        <w:tblPrEx>
          <w:tblCellMar>
            <w:top w:w="0" w:type="dxa"/>
            <w:left w:w="108" w:type="dxa"/>
            <w:bottom w:w="0" w:type="dxa"/>
            <w:right w:w="108" w:type="dxa"/>
          </w:tblCellMar>
        </w:tblPrEx>
        <w:trPr>
          <w:trHeight w:val="580"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A069">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auto" w:sz="4" w:space="0"/>
              <w:right w:val="single" w:color="000000" w:sz="4" w:space="0"/>
            </w:tcBorders>
            <w:shd w:val="clear" w:color="auto" w:fill="auto"/>
            <w:vAlign w:val="center"/>
          </w:tcPr>
          <w:p w14:paraId="72D79E3A">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Eclipse</w:t>
            </w:r>
          </w:p>
        </w:tc>
        <w:tc>
          <w:tcPr>
            <w:tcW w:w="382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4DE1F37">
            <w:pPr>
              <w:rPr>
                <w:rFonts w:ascii="Times New Roman" w:hAnsi="Times New Roman" w:eastAsia="宋体" w:cs="Times New Roman"/>
                <w:color w:val="000000"/>
                <w:sz w:val="24"/>
              </w:rPr>
            </w:pPr>
          </w:p>
        </w:tc>
      </w:tr>
      <w:tr w14:paraId="209B7443">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3C8391D">
            <w:pPr>
              <w:rPr>
                <w:rFonts w:ascii="Times New Roman" w:hAnsi="Times New Roman" w:eastAsia="宋体" w:cs="Times New Roman"/>
                <w:color w:val="000000"/>
                <w:sz w:val="24"/>
              </w:rPr>
            </w:pP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14:paraId="4343FF5A">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7F62A">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Succinylation</w:t>
            </w:r>
          </w:p>
        </w:tc>
      </w:tr>
      <w:tr w14:paraId="7842D20B">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6C8015D">
            <w:pPr>
              <w:rPr>
                <w:rFonts w:ascii="Times New Roman" w:hAnsi="Times New Roman" w:eastAsia="宋体" w:cs="Times New Roman"/>
                <w:color w:val="000000"/>
                <w:sz w:val="24"/>
              </w:rPr>
            </w:pP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14:paraId="41E90A27">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4374AF1">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Nitrosylation,Thiolation</w:t>
            </w:r>
          </w:p>
        </w:tc>
      </w:tr>
      <w:tr w14:paraId="694C932D">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680EFAD">
            <w:pPr>
              <w:rPr>
                <w:rFonts w:ascii="Times New Roman" w:hAnsi="Times New Roman" w:eastAsia="宋体" w:cs="Times New Roman"/>
                <w:color w:val="000000"/>
                <w:sz w:val="24"/>
              </w:rPr>
            </w:pP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14:paraId="0B77871C">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6E6B0">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Palmitoylation</w:t>
            </w:r>
          </w:p>
        </w:tc>
      </w:tr>
      <w:tr w14:paraId="53B5E420">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9B709C1">
            <w:pPr>
              <w:rPr>
                <w:rFonts w:ascii="Times New Roman" w:hAnsi="Times New Roman" w:eastAsia="宋体" w:cs="Times New Roman"/>
                <w:color w:val="000000"/>
                <w:sz w:val="24"/>
              </w:rPr>
            </w:pP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14:paraId="3DFDF3E0">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281AC25">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Disulfide Bond Assessment</w:t>
            </w:r>
          </w:p>
        </w:tc>
      </w:tr>
      <w:tr w14:paraId="2E552A81">
        <w:tblPrEx>
          <w:tblCellMar>
            <w:top w:w="0" w:type="dxa"/>
            <w:left w:w="108" w:type="dxa"/>
            <w:bottom w:w="0" w:type="dxa"/>
            <w:right w:w="108" w:type="dxa"/>
          </w:tblCellMar>
        </w:tblPrEx>
        <w:trPr>
          <w:trHeight w:val="278" w:hRule="atLeast"/>
        </w:trPr>
        <w:tc>
          <w:tcPr>
            <w:tcW w:w="2346"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03FD93EB">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Specialized Proteome</w:t>
            </w:r>
            <w:r>
              <w:rPr>
                <w:rFonts w:hint="eastAsia" w:ascii="Times New Roman" w:hAnsi="Times New Roman" w:eastAsia="宋体" w:cs="Times New Roman"/>
                <w:color w:val="000000"/>
                <w:kern w:val="0"/>
                <w:sz w:val="24"/>
                <w:lang w:bidi="ar"/>
              </w:rPr>
              <w:t xml:space="preserve"> Analysis</w:t>
            </w: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14:paraId="32204E40">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timsTOF Pro</w:t>
            </w:r>
            <w:r>
              <w:rPr>
                <w:rFonts w:hint="eastAsia" w:ascii="Times New Roman" w:hAnsi="Times New Roman" w:eastAsia="宋体" w:cs="Times New Roman"/>
                <w:color w:val="000000"/>
                <w:kern w:val="0"/>
                <w:sz w:val="24"/>
                <w:lang w:bidi="ar"/>
              </w:rPr>
              <w:t>SCP</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C66C9B7">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 xml:space="preserve">Single cell </w:t>
            </w:r>
            <w:r>
              <w:rPr>
                <w:rFonts w:hint="eastAsia" w:ascii="Times New Roman" w:hAnsi="Times New Roman" w:eastAsia="宋体" w:cs="Times New Roman"/>
                <w:color w:val="000000"/>
                <w:kern w:val="0"/>
                <w:sz w:val="24"/>
                <w:lang w:bidi="ar"/>
              </w:rPr>
              <w:t>proteomics</w:t>
            </w:r>
          </w:p>
        </w:tc>
      </w:tr>
      <w:tr w14:paraId="31544F06">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44C531C">
            <w:pPr>
              <w:rPr>
                <w:rFonts w:ascii="Times New Roman" w:hAnsi="Times New Roman" w:eastAsia="宋体" w:cs="Times New Roman"/>
                <w:color w:val="000000"/>
                <w:sz w:val="24"/>
              </w:rPr>
            </w:pP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14:paraId="4F1D0E25">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B48B64">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Metaproteome</w:t>
            </w:r>
          </w:p>
        </w:tc>
      </w:tr>
      <w:tr w14:paraId="77CD278B">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A686EE7">
            <w:pPr>
              <w:rPr>
                <w:rFonts w:ascii="Times New Roman" w:hAnsi="Times New Roman" w:eastAsia="宋体" w:cs="Times New Roman"/>
                <w:color w:val="000000"/>
                <w:sz w:val="24"/>
              </w:rPr>
            </w:pP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14:paraId="63733F99">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timsTOF Pro</w:t>
            </w:r>
          </w:p>
        </w:tc>
        <w:tc>
          <w:tcPr>
            <w:tcW w:w="38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BCCD0">
            <w:pPr>
              <w:rPr>
                <w:rFonts w:ascii="Times New Roman" w:hAnsi="Times New Roman" w:eastAsia="宋体" w:cs="Times New Roman"/>
                <w:color w:val="000000"/>
                <w:sz w:val="24"/>
              </w:rPr>
            </w:pPr>
          </w:p>
        </w:tc>
      </w:tr>
      <w:tr w14:paraId="1F22010C">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472F37D">
            <w:pPr>
              <w:rPr>
                <w:rFonts w:ascii="Times New Roman" w:hAnsi="Times New Roman" w:eastAsia="宋体" w:cs="Times New Roman"/>
                <w:color w:val="000000"/>
                <w:sz w:val="24"/>
              </w:rPr>
            </w:pP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14:paraId="18F3BCC8">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9E0B3D">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 xml:space="preserve">FFPE </w:t>
            </w:r>
            <w:r>
              <w:rPr>
                <w:rFonts w:hint="eastAsia" w:ascii="Times New Roman" w:hAnsi="Times New Roman" w:eastAsia="宋体" w:cs="Times New Roman"/>
                <w:color w:val="000000"/>
                <w:kern w:val="0"/>
                <w:sz w:val="24"/>
                <w:lang w:bidi="ar"/>
              </w:rPr>
              <w:t>proteomics</w:t>
            </w:r>
          </w:p>
        </w:tc>
      </w:tr>
      <w:tr w14:paraId="3DCF297F">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EF3AF">
            <w:pPr>
              <w:rPr>
                <w:rFonts w:ascii="Times New Roman" w:hAnsi="Times New Roman" w:eastAsia="宋体" w:cs="Times New Roman"/>
                <w:color w:val="000000"/>
                <w:sz w:val="24"/>
              </w:rPr>
            </w:pPr>
          </w:p>
        </w:tc>
        <w:tc>
          <w:tcPr>
            <w:tcW w:w="2144" w:type="dxa"/>
            <w:tcBorders>
              <w:top w:val="single" w:color="auto" w:sz="4" w:space="0"/>
              <w:left w:val="single" w:color="000000" w:sz="4" w:space="0"/>
              <w:bottom w:val="single" w:color="000000" w:sz="4" w:space="0"/>
              <w:right w:val="single" w:color="000000" w:sz="4" w:space="0"/>
            </w:tcBorders>
            <w:shd w:val="clear" w:color="auto" w:fill="auto"/>
            <w:vAlign w:val="center"/>
          </w:tcPr>
          <w:p w14:paraId="652787F8">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timsTOF Pro</w:t>
            </w:r>
          </w:p>
        </w:tc>
        <w:tc>
          <w:tcPr>
            <w:tcW w:w="3828"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389817A0">
            <w:pPr>
              <w:rPr>
                <w:rFonts w:ascii="Times New Roman" w:hAnsi="Times New Roman" w:eastAsia="宋体" w:cs="Times New Roman"/>
                <w:color w:val="000000"/>
                <w:sz w:val="24"/>
              </w:rPr>
            </w:pPr>
          </w:p>
        </w:tc>
      </w:tr>
      <w:tr w14:paraId="10E19D6B">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7B4D8">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95CA">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Exploris 480</w:t>
            </w:r>
          </w:p>
        </w:tc>
        <w:tc>
          <w:tcPr>
            <w:tcW w:w="3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C3F9F">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Exosome</w:t>
            </w:r>
          </w:p>
        </w:tc>
      </w:tr>
      <w:tr w14:paraId="67592E85">
        <w:tblPrEx>
          <w:tblCellMar>
            <w:top w:w="0" w:type="dxa"/>
            <w:left w:w="108" w:type="dxa"/>
            <w:bottom w:w="0" w:type="dxa"/>
            <w:right w:w="108" w:type="dxa"/>
          </w:tblCellMar>
        </w:tblPrEx>
        <w:trPr>
          <w:trHeight w:val="278" w:hRule="atLeast"/>
        </w:trPr>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0BF81">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8318">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timsTOF Pro</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4F147">
            <w:pPr>
              <w:rPr>
                <w:rFonts w:ascii="Times New Roman" w:hAnsi="Times New Roman" w:eastAsia="宋体" w:cs="Times New Roman"/>
                <w:color w:val="000000"/>
                <w:sz w:val="24"/>
              </w:rPr>
            </w:pPr>
          </w:p>
        </w:tc>
      </w:tr>
      <w:tr w14:paraId="1618C51D">
        <w:tblPrEx>
          <w:tblCellMar>
            <w:top w:w="0" w:type="dxa"/>
            <w:left w:w="108" w:type="dxa"/>
            <w:bottom w:w="0" w:type="dxa"/>
            <w:right w:w="108" w:type="dxa"/>
          </w:tblCellMar>
        </w:tblPrEx>
        <w:trPr>
          <w:trHeight w:val="278" w:hRule="atLeast"/>
        </w:trPr>
        <w:tc>
          <w:tcPr>
            <w:tcW w:w="2346" w:type="dxa"/>
            <w:vMerge w:val="restart"/>
            <w:tcBorders>
              <w:top w:val="single" w:color="000000" w:sz="4" w:space="0"/>
              <w:left w:val="single" w:color="000000" w:sz="4" w:space="0"/>
              <w:right w:val="single" w:color="000000" w:sz="4" w:space="0"/>
            </w:tcBorders>
            <w:shd w:val="clear" w:color="auto" w:fill="auto"/>
            <w:vAlign w:val="center"/>
          </w:tcPr>
          <w:p w14:paraId="635A9CB9">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Metabolo</w:t>
            </w:r>
            <w:r>
              <w:rPr>
                <w:rFonts w:hint="eastAsia" w:ascii="Times New Roman" w:hAnsi="Times New Roman" w:eastAsia="宋体" w:cs="Times New Roman"/>
                <w:color w:val="000000"/>
                <w:kern w:val="0"/>
                <w:sz w:val="24"/>
                <w:lang w:bidi="ar"/>
              </w:rPr>
              <w:t>mics Analysis</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6171">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Q-TOF 6600</w:t>
            </w:r>
          </w:p>
        </w:tc>
        <w:tc>
          <w:tcPr>
            <w:tcW w:w="3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5E5AC">
            <w:pPr>
              <w:widowControl/>
              <w:jc w:val="left"/>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kern w:val="0"/>
                <w:sz w:val="24"/>
                <w:lang w:bidi="ar"/>
              </w:rPr>
              <w:t>U</w:t>
            </w:r>
            <w:r>
              <w:rPr>
                <w:rFonts w:ascii="Times New Roman" w:hAnsi="Times New Roman" w:eastAsia="宋体" w:cs="Times New Roman"/>
                <w:color w:val="000000"/>
                <w:kern w:val="0"/>
                <w:sz w:val="24"/>
                <w:lang w:bidi="ar"/>
              </w:rPr>
              <w:t xml:space="preserve">ntargeted </w:t>
            </w:r>
            <w:r>
              <w:rPr>
                <w:rFonts w:hint="eastAsia" w:ascii="Times New Roman" w:hAnsi="Times New Roman" w:eastAsia="宋体" w:cs="Times New Roman"/>
                <w:color w:val="000000"/>
                <w:kern w:val="0"/>
                <w:sz w:val="24"/>
                <w:lang w:bidi="ar"/>
              </w:rPr>
              <w:t>M</w:t>
            </w:r>
            <w:r>
              <w:rPr>
                <w:rFonts w:ascii="Times New Roman" w:hAnsi="Times New Roman" w:eastAsia="宋体" w:cs="Times New Roman"/>
                <w:color w:val="000000"/>
                <w:kern w:val="0"/>
                <w:sz w:val="24"/>
                <w:lang w:bidi="ar"/>
              </w:rPr>
              <w:t xml:space="preserve">etabolomics </w:t>
            </w:r>
            <w:r>
              <w:rPr>
                <w:rFonts w:hint="eastAsia" w:ascii="Times New Roman" w:hAnsi="Times New Roman" w:eastAsia="宋体" w:cs="Times New Roman"/>
                <w:color w:val="000000"/>
                <w:kern w:val="0"/>
                <w:sz w:val="24"/>
                <w:lang w:bidi="ar"/>
              </w:rPr>
              <w:t>A</w:t>
            </w:r>
            <w:r>
              <w:rPr>
                <w:rFonts w:ascii="Times New Roman" w:hAnsi="Times New Roman" w:eastAsia="宋体" w:cs="Times New Roman"/>
                <w:color w:val="000000"/>
                <w:kern w:val="0"/>
                <w:sz w:val="24"/>
                <w:lang w:bidi="ar"/>
              </w:rPr>
              <w:t>nalysis</w:t>
            </w:r>
          </w:p>
        </w:tc>
      </w:tr>
      <w:tr w14:paraId="0A467751">
        <w:tblPrEx>
          <w:tblCellMar>
            <w:top w:w="0" w:type="dxa"/>
            <w:left w:w="108" w:type="dxa"/>
            <w:bottom w:w="0" w:type="dxa"/>
            <w:right w:w="108" w:type="dxa"/>
          </w:tblCellMar>
        </w:tblPrEx>
        <w:trPr>
          <w:trHeight w:val="278" w:hRule="atLeast"/>
        </w:trPr>
        <w:tc>
          <w:tcPr>
            <w:tcW w:w="2346" w:type="dxa"/>
            <w:vMerge w:val="continue"/>
            <w:tcBorders>
              <w:left w:val="single" w:color="000000" w:sz="4" w:space="0"/>
              <w:right w:val="single" w:color="000000" w:sz="4" w:space="0"/>
            </w:tcBorders>
            <w:shd w:val="clear" w:color="auto" w:fill="auto"/>
            <w:vAlign w:val="center"/>
          </w:tcPr>
          <w:p w14:paraId="4F4EA3E7">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C1DE">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Zeno-TOF 7600</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4192B">
            <w:pPr>
              <w:rPr>
                <w:rFonts w:ascii="Times New Roman" w:hAnsi="Times New Roman" w:eastAsia="宋体" w:cs="Times New Roman"/>
                <w:color w:val="000000"/>
                <w:sz w:val="24"/>
              </w:rPr>
            </w:pPr>
          </w:p>
        </w:tc>
      </w:tr>
      <w:tr w14:paraId="13F92095">
        <w:tblPrEx>
          <w:tblCellMar>
            <w:top w:w="0" w:type="dxa"/>
            <w:left w:w="108" w:type="dxa"/>
            <w:bottom w:w="0" w:type="dxa"/>
            <w:right w:w="108" w:type="dxa"/>
          </w:tblCellMar>
        </w:tblPrEx>
        <w:trPr>
          <w:trHeight w:val="278" w:hRule="atLeast"/>
        </w:trPr>
        <w:tc>
          <w:tcPr>
            <w:tcW w:w="2346" w:type="dxa"/>
            <w:vMerge w:val="continue"/>
            <w:tcBorders>
              <w:left w:val="single" w:color="000000" w:sz="4" w:space="0"/>
              <w:right w:val="single" w:color="000000" w:sz="4" w:space="0"/>
            </w:tcBorders>
            <w:shd w:val="clear" w:color="auto" w:fill="auto"/>
            <w:vAlign w:val="center"/>
          </w:tcPr>
          <w:p w14:paraId="4C5C1918">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902E">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Q-TOF 6600</w:t>
            </w:r>
          </w:p>
        </w:tc>
        <w:tc>
          <w:tcPr>
            <w:tcW w:w="3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6DBBF">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 xml:space="preserve">Untargeted </w:t>
            </w:r>
            <w:r>
              <w:rPr>
                <w:rFonts w:hint="eastAsia" w:ascii="Times New Roman" w:hAnsi="Times New Roman" w:eastAsia="宋体" w:cs="Times New Roman"/>
                <w:color w:val="000000"/>
                <w:kern w:val="0"/>
                <w:sz w:val="24"/>
                <w:lang w:bidi="ar"/>
              </w:rPr>
              <w:t>Lipidomics Analysis</w:t>
            </w:r>
          </w:p>
        </w:tc>
      </w:tr>
      <w:tr w14:paraId="1F64C6FA">
        <w:tblPrEx>
          <w:tblCellMar>
            <w:top w:w="0" w:type="dxa"/>
            <w:left w:w="108" w:type="dxa"/>
            <w:bottom w:w="0" w:type="dxa"/>
            <w:right w:w="108" w:type="dxa"/>
          </w:tblCellMar>
        </w:tblPrEx>
        <w:trPr>
          <w:trHeight w:val="278" w:hRule="atLeast"/>
        </w:trPr>
        <w:tc>
          <w:tcPr>
            <w:tcW w:w="2346" w:type="dxa"/>
            <w:vMerge w:val="continue"/>
            <w:tcBorders>
              <w:left w:val="single" w:color="000000" w:sz="4" w:space="0"/>
              <w:right w:val="single" w:color="000000" w:sz="4" w:space="0"/>
            </w:tcBorders>
            <w:shd w:val="clear" w:color="auto" w:fill="auto"/>
            <w:vAlign w:val="center"/>
          </w:tcPr>
          <w:p w14:paraId="5763A0B6">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42E1">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Zeno-TOF 7600</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786A1">
            <w:pPr>
              <w:rPr>
                <w:rFonts w:ascii="Times New Roman" w:hAnsi="Times New Roman" w:eastAsia="宋体" w:cs="Times New Roman"/>
                <w:color w:val="000000"/>
                <w:sz w:val="24"/>
              </w:rPr>
            </w:pPr>
          </w:p>
        </w:tc>
      </w:tr>
      <w:tr w14:paraId="6CB95CEF">
        <w:tblPrEx>
          <w:tblCellMar>
            <w:top w:w="0" w:type="dxa"/>
            <w:left w:w="108" w:type="dxa"/>
            <w:bottom w:w="0" w:type="dxa"/>
            <w:right w:w="108" w:type="dxa"/>
          </w:tblCellMar>
        </w:tblPrEx>
        <w:trPr>
          <w:trHeight w:val="278" w:hRule="atLeast"/>
        </w:trPr>
        <w:tc>
          <w:tcPr>
            <w:tcW w:w="2346" w:type="dxa"/>
            <w:vMerge w:val="continue"/>
            <w:tcBorders>
              <w:left w:val="single" w:color="000000" w:sz="4" w:space="0"/>
              <w:right w:val="single" w:color="000000" w:sz="4" w:space="0"/>
            </w:tcBorders>
            <w:shd w:val="clear" w:color="auto" w:fill="auto"/>
            <w:vAlign w:val="center"/>
          </w:tcPr>
          <w:p w14:paraId="78321B4A">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E81C">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Q-TOF 6600</w:t>
            </w:r>
          </w:p>
        </w:tc>
        <w:tc>
          <w:tcPr>
            <w:tcW w:w="3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E4853">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Integrated Metabolomics and L</w:t>
            </w:r>
            <w:r>
              <w:rPr>
                <w:rFonts w:hint="eastAsia" w:ascii="Times New Roman" w:hAnsi="Times New Roman" w:eastAsia="宋体" w:cs="Times New Roman"/>
                <w:color w:val="000000"/>
                <w:kern w:val="0"/>
                <w:sz w:val="24"/>
                <w:lang w:bidi="ar"/>
              </w:rPr>
              <w:t>i</w:t>
            </w:r>
            <w:r>
              <w:rPr>
                <w:rFonts w:ascii="Times New Roman" w:hAnsi="Times New Roman" w:eastAsia="宋体" w:cs="Times New Roman"/>
                <w:color w:val="000000"/>
                <w:kern w:val="0"/>
                <w:sz w:val="24"/>
                <w:lang w:bidi="ar"/>
              </w:rPr>
              <w:t>pidomics Analysis</w:t>
            </w:r>
          </w:p>
        </w:tc>
      </w:tr>
      <w:tr w14:paraId="37119445">
        <w:tblPrEx>
          <w:tblCellMar>
            <w:top w:w="0" w:type="dxa"/>
            <w:left w:w="108" w:type="dxa"/>
            <w:bottom w:w="0" w:type="dxa"/>
            <w:right w:w="108" w:type="dxa"/>
          </w:tblCellMar>
        </w:tblPrEx>
        <w:trPr>
          <w:trHeight w:val="278" w:hRule="atLeast"/>
        </w:trPr>
        <w:tc>
          <w:tcPr>
            <w:tcW w:w="2346" w:type="dxa"/>
            <w:vMerge w:val="continue"/>
            <w:tcBorders>
              <w:left w:val="single" w:color="000000" w:sz="4" w:space="0"/>
              <w:right w:val="single" w:color="000000" w:sz="4" w:space="0"/>
            </w:tcBorders>
            <w:shd w:val="clear" w:color="auto" w:fill="auto"/>
            <w:vAlign w:val="center"/>
          </w:tcPr>
          <w:p w14:paraId="1E2F334A">
            <w:pPr>
              <w:rPr>
                <w:rFonts w:ascii="Times New Roman" w:hAnsi="Times New Roman" w:eastAsia="宋体" w:cs="Times New Roman"/>
                <w:color w:val="000000"/>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581B">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Zeno-TOF 7600</w:t>
            </w:r>
          </w:p>
        </w:tc>
        <w:tc>
          <w:tcPr>
            <w:tcW w:w="3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3BC75">
            <w:pPr>
              <w:rPr>
                <w:rFonts w:ascii="Times New Roman" w:hAnsi="Times New Roman" w:eastAsia="宋体" w:cs="Times New Roman"/>
                <w:color w:val="000000"/>
                <w:sz w:val="24"/>
              </w:rPr>
            </w:pPr>
          </w:p>
        </w:tc>
      </w:tr>
      <w:tr w14:paraId="67444821">
        <w:tblPrEx>
          <w:tblCellMar>
            <w:top w:w="0" w:type="dxa"/>
            <w:left w:w="108" w:type="dxa"/>
            <w:bottom w:w="0" w:type="dxa"/>
            <w:right w:w="108" w:type="dxa"/>
          </w:tblCellMar>
        </w:tblPrEx>
        <w:trPr>
          <w:trHeight w:val="278" w:hRule="atLeast"/>
        </w:trPr>
        <w:tc>
          <w:tcPr>
            <w:tcW w:w="2346" w:type="dxa"/>
            <w:vMerge w:val="continue"/>
            <w:tcBorders>
              <w:left w:val="single" w:color="000000" w:sz="4" w:space="0"/>
              <w:right w:val="single" w:color="000000" w:sz="4" w:space="0"/>
            </w:tcBorders>
            <w:shd w:val="clear" w:color="auto" w:fill="auto"/>
            <w:vAlign w:val="center"/>
          </w:tcPr>
          <w:p w14:paraId="3871E4A6">
            <w:pPr>
              <w:rPr>
                <w:rFonts w:ascii="Times New Roman" w:hAnsi="Times New Roman" w:eastAsia="宋体" w:cs="Times New Roman"/>
                <w:color w:val="000000"/>
                <w:sz w:val="24"/>
              </w:rPr>
            </w:pPr>
          </w:p>
        </w:tc>
        <w:tc>
          <w:tcPr>
            <w:tcW w:w="2144" w:type="dxa"/>
            <w:vMerge w:val="restart"/>
            <w:tcBorders>
              <w:top w:val="single" w:color="000000" w:sz="4" w:space="0"/>
              <w:left w:val="single" w:color="000000" w:sz="4" w:space="0"/>
              <w:right w:val="single" w:color="000000" w:sz="4" w:space="0"/>
            </w:tcBorders>
            <w:shd w:val="clear" w:color="auto" w:fill="auto"/>
            <w:vAlign w:val="center"/>
          </w:tcPr>
          <w:p w14:paraId="045D7605">
            <w:pPr>
              <w:jc w:val="left"/>
              <w:textAlignment w:val="center"/>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Triple Quad 6500+</w:t>
            </w:r>
          </w:p>
        </w:tc>
        <w:tc>
          <w:tcPr>
            <w:tcW w:w="3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5CC2">
            <w:pPr>
              <w:rPr>
                <w:rFonts w:ascii="Times New Roman" w:hAnsi="Times New Roman" w:eastAsia="宋体" w:cs="Times New Roman"/>
                <w:color w:val="000000"/>
                <w:sz w:val="24"/>
              </w:rPr>
            </w:pPr>
            <w:r>
              <w:rPr>
                <w:rFonts w:hint="eastAsia" w:ascii="Times New Roman" w:hAnsi="Times New Roman" w:eastAsia="宋体" w:cs="Times New Roman"/>
                <w:color w:val="000000"/>
                <w:sz w:val="24"/>
              </w:rPr>
              <w:t>Targeted Analysis of 35 Bile Acids</w:t>
            </w:r>
          </w:p>
        </w:tc>
      </w:tr>
      <w:tr w14:paraId="21934820">
        <w:tblPrEx>
          <w:tblCellMar>
            <w:top w:w="0" w:type="dxa"/>
            <w:left w:w="108" w:type="dxa"/>
            <w:bottom w:w="0" w:type="dxa"/>
            <w:right w:w="108" w:type="dxa"/>
          </w:tblCellMar>
        </w:tblPrEx>
        <w:trPr>
          <w:trHeight w:val="278" w:hRule="atLeast"/>
        </w:trPr>
        <w:tc>
          <w:tcPr>
            <w:tcW w:w="2346" w:type="dxa"/>
            <w:vMerge w:val="continue"/>
            <w:tcBorders>
              <w:left w:val="single" w:color="000000" w:sz="4" w:space="0"/>
              <w:bottom w:val="single" w:color="000000" w:sz="4" w:space="0"/>
              <w:right w:val="single" w:color="000000" w:sz="4" w:space="0"/>
            </w:tcBorders>
            <w:shd w:val="clear" w:color="auto" w:fill="auto"/>
            <w:vAlign w:val="center"/>
          </w:tcPr>
          <w:p w14:paraId="41900908">
            <w:pPr>
              <w:rPr>
                <w:rFonts w:ascii="Times New Roman" w:hAnsi="Times New Roman" w:eastAsia="宋体" w:cs="Times New Roman"/>
                <w:color w:val="000000"/>
                <w:sz w:val="24"/>
              </w:rPr>
            </w:pPr>
          </w:p>
        </w:tc>
        <w:tc>
          <w:tcPr>
            <w:tcW w:w="2144" w:type="dxa"/>
            <w:vMerge w:val="continue"/>
            <w:tcBorders>
              <w:left w:val="single" w:color="000000" w:sz="4" w:space="0"/>
              <w:bottom w:val="single" w:color="000000" w:sz="4" w:space="0"/>
              <w:right w:val="single" w:color="000000" w:sz="4" w:space="0"/>
            </w:tcBorders>
            <w:shd w:val="clear" w:color="auto" w:fill="auto"/>
            <w:vAlign w:val="center"/>
          </w:tcPr>
          <w:p w14:paraId="4DB75916">
            <w:pPr>
              <w:widowControl/>
              <w:jc w:val="left"/>
              <w:textAlignment w:val="center"/>
              <w:rPr>
                <w:rFonts w:ascii="Times New Roman" w:hAnsi="Times New Roman" w:eastAsia="宋体" w:cs="Times New Roman"/>
                <w:color w:val="000000"/>
                <w:kern w:val="0"/>
                <w:sz w:val="24"/>
                <w:lang w:bidi="ar"/>
              </w:rPr>
            </w:pPr>
          </w:p>
        </w:tc>
        <w:tc>
          <w:tcPr>
            <w:tcW w:w="3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9163">
            <w:pPr>
              <w:rPr>
                <w:rFonts w:ascii="Times New Roman" w:hAnsi="Times New Roman" w:eastAsia="宋体" w:cs="Times New Roman"/>
                <w:color w:val="000000"/>
                <w:sz w:val="24"/>
              </w:rPr>
            </w:pPr>
            <w:r>
              <w:rPr>
                <w:rFonts w:hint="eastAsia" w:ascii="Times New Roman" w:hAnsi="Times New Roman" w:eastAsia="宋体" w:cs="Times New Roman"/>
                <w:color w:val="000000"/>
                <w:sz w:val="24"/>
              </w:rPr>
              <w:t xml:space="preserve">Targeted Analysis of </w:t>
            </w:r>
            <w:r>
              <w:rPr>
                <w:rFonts w:ascii="Times New Roman" w:hAnsi="Times New Roman" w:eastAsia="宋体" w:cs="Times New Roman"/>
                <w:color w:val="000000"/>
                <w:sz w:val="24"/>
              </w:rPr>
              <w:t>Sterols</w:t>
            </w:r>
          </w:p>
        </w:tc>
      </w:tr>
    </w:tbl>
    <w:p w14:paraId="7618C69D">
      <w:pPr>
        <w:jc w:val="both"/>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4BF42"/>
    <w:multiLevelType w:val="singleLevel"/>
    <w:tmpl w:val="CFA4BF42"/>
    <w:lvl w:ilvl="0" w:tentative="0">
      <w:start w:val="1"/>
      <w:numFmt w:val="upperRoman"/>
      <w:suff w:val="space"/>
      <w:lvlText w:val="%1."/>
      <w:lvlJc w:val="left"/>
    </w:lvl>
  </w:abstractNum>
  <w:abstractNum w:abstractNumId="1">
    <w:nsid w:val="1D30049A"/>
    <w:multiLevelType w:val="multilevel"/>
    <w:tmpl w:val="1D30049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ZTRhY2ZiZDMwMTMyNjg5ZWY4MTRkMGYxN2E0ZWUifQ=="/>
  </w:docVars>
  <w:rsids>
    <w:rsidRoot w:val="731419F9"/>
    <w:rsid w:val="0E2C2684"/>
    <w:rsid w:val="35C05049"/>
    <w:rsid w:val="455D4659"/>
    <w:rsid w:val="4E955535"/>
    <w:rsid w:val="5A3966FA"/>
    <w:rsid w:val="5F1349B3"/>
    <w:rsid w:val="5FC043D9"/>
    <w:rsid w:val="717064B2"/>
    <w:rsid w:val="73141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1060</Words>
  <Characters>6967</Characters>
  <Lines>0</Lines>
  <Paragraphs>0</Paragraphs>
  <TotalTime>0</TotalTime>
  <ScaleCrop>false</ScaleCrop>
  <LinksUpToDate>false</LinksUpToDate>
  <CharactersWithSpaces>7931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2024-11-09T05:29:00Z</dcterms:created>
  <dc:creator>Cui Yu</dc:creator>
  <cp:lastModifiedBy>Cui Yu</cp:lastModifiedBy>
  <dcterms:modified xsi:type="dcterms:W3CDTF">2024-11-18T12:41:29Z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C927585E3FAC4DF78ED6CB6908C12AC6_11</vt:lpwstr>
  </property>
</Properties>
</file>